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C30648" w:rsidRDefault="00475CC7" w:rsidP="003B03CA">
      <w:pPr>
        <w:pStyle w:val="Title"/>
        <w:rPr>
          <w:sz w:val="50"/>
          <w:szCs w:val="50"/>
          <w:lang w:val="pt-PT"/>
        </w:rPr>
      </w:pPr>
      <w:r w:rsidRPr="00C30648">
        <w:rPr>
          <w:rFonts w:ascii="Georgia" w:eastAsia="Georgia" w:hAnsi="Georgia" w:cs="Georgia"/>
          <w:bCs/>
          <w:iCs/>
          <w:sz w:val="50"/>
          <w:szCs w:val="50"/>
          <w:lang w:val="pt-BR"/>
        </w:rPr>
        <w:t>Folha de Respostas do Material B</w:t>
      </w:r>
    </w:p>
    <w:p w:rsidR="002F372E" w:rsidRPr="00C30648" w:rsidRDefault="00C30648" w:rsidP="003B03CA">
      <w:pPr>
        <w:pStyle w:val="Heading1"/>
        <w:rPr>
          <w:sz w:val="36"/>
          <w:szCs w:val="36"/>
          <w:lang w:val="pt-PT"/>
        </w:rPr>
      </w:pPr>
      <w:r w:rsidRPr="00C30648">
        <w:rPr>
          <w:rFonts w:ascii="Georgia" w:eastAsia="Georgia" w:hAnsi="Georgia" w:cs="Georgia"/>
          <w:iCs/>
          <w:sz w:val="36"/>
          <w:szCs w:val="36"/>
          <w:lang w:val="pt-BR"/>
        </w:rPr>
        <w:t>Formas de identificação – F</w:t>
      </w:r>
      <w:r w:rsidR="00475CC7" w:rsidRPr="00C30648">
        <w:rPr>
          <w:rFonts w:ascii="Georgia" w:eastAsia="Georgia" w:hAnsi="Georgia" w:cs="Georgia"/>
          <w:iCs/>
          <w:sz w:val="36"/>
          <w:szCs w:val="36"/>
          <w:lang w:val="pt-BR"/>
        </w:rPr>
        <w:t xml:space="preserve">olha de </w:t>
      </w:r>
      <w:r w:rsidRPr="00C30648">
        <w:rPr>
          <w:rFonts w:ascii="Georgia" w:eastAsia="Georgia" w:hAnsi="Georgia" w:cs="Georgia"/>
          <w:iCs/>
          <w:sz w:val="36"/>
          <w:szCs w:val="36"/>
          <w:lang w:val="pt-BR"/>
        </w:rPr>
        <w:t>R</w:t>
      </w:r>
      <w:r w:rsidR="00475CC7" w:rsidRPr="00C30648">
        <w:rPr>
          <w:rFonts w:ascii="Georgia" w:eastAsia="Georgia" w:hAnsi="Georgia" w:cs="Georgia"/>
          <w:iCs/>
          <w:sz w:val="36"/>
          <w:szCs w:val="36"/>
          <w:lang w:val="pt-BR"/>
        </w:rPr>
        <w:t>espostas</w:t>
      </w:r>
    </w:p>
    <w:p w:rsidR="002F372E" w:rsidRPr="00C30648" w:rsidRDefault="00C30648" w:rsidP="00FA403C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i</w:t>
      </w:r>
      <w:r w:rsidR="00475CC7" w:rsidRPr="00FA403C">
        <w:rPr>
          <w:rFonts w:eastAsia="Georgia" w:cs="Georgia"/>
          <w:lang w:val="pt-BR"/>
        </w:rPr>
        <w:t>dentifique cada forma de identificação como emitido pelo governo e não emiti</w:t>
      </w:r>
      <w:r>
        <w:rPr>
          <w:rFonts w:eastAsia="Georgia" w:cs="Georgia"/>
          <w:lang w:val="pt-BR"/>
        </w:rPr>
        <w:t>do pelo governo, ao colocar um “</w:t>
      </w:r>
      <w:r w:rsidR="00475CC7" w:rsidRPr="00FA403C">
        <w:rPr>
          <w:rFonts w:eastAsia="Georgia" w:cs="Georgia"/>
          <w:lang w:val="pt-BR"/>
        </w:rPr>
        <w:t>x</w:t>
      </w:r>
      <w:r>
        <w:rPr>
          <w:rFonts w:eastAsia="Georgia" w:cs="Georgia"/>
          <w:lang w:val="pt-BR"/>
        </w:rPr>
        <w:t>”</w:t>
      </w:r>
      <w:r w:rsidR="00475CC7" w:rsidRPr="00FA403C">
        <w:rPr>
          <w:rFonts w:eastAsia="Georgia" w:cs="Georgia"/>
          <w:lang w:val="pt-BR"/>
        </w:rPr>
        <w:t xml:space="preserve"> na coluna apropriada.</w:t>
      </w:r>
    </w:p>
    <w:tbl>
      <w:tblPr>
        <w:tblStyle w:val="DP-Plain"/>
        <w:tblW w:w="5000" w:type="pct"/>
        <w:tblCellMar>
          <w:top w:w="29" w:type="dxa"/>
          <w:left w:w="43" w:type="dxa"/>
          <w:bottom w:w="29" w:type="dxa"/>
          <w:right w:w="43" w:type="dxa"/>
        </w:tblCellMar>
        <w:tblLook w:val="04A0"/>
      </w:tblPr>
      <w:tblGrid>
        <w:gridCol w:w="2223"/>
        <w:gridCol w:w="3065"/>
        <w:gridCol w:w="1712"/>
        <w:gridCol w:w="2086"/>
      </w:tblGrid>
      <w:tr w:rsidR="003D5F75" w:rsidTr="003D5F75">
        <w:trPr>
          <w:cnfStyle w:val="100000000000"/>
        </w:trPr>
        <w:tc>
          <w:tcPr>
            <w:tcW w:w="5288" w:type="dxa"/>
            <w:gridSpan w:val="2"/>
            <w:vMerge w:val="restart"/>
          </w:tcPr>
          <w:p w:rsidR="00D56A83" w:rsidRPr="00D56A83" w:rsidRDefault="00475CC7" w:rsidP="00D56A83">
            <w:pPr>
              <w:pStyle w:val="TableTitleArial"/>
            </w:pPr>
            <w:r w:rsidRPr="00D56A83">
              <w:rPr>
                <w:rFonts w:eastAsia="Arial"/>
                <w:color w:val="000000"/>
                <w:szCs w:val="20"/>
                <w:lang w:val="pt-BR"/>
              </w:rPr>
              <w:t>Forma de identificação</w:t>
            </w:r>
          </w:p>
        </w:tc>
        <w:tc>
          <w:tcPr>
            <w:tcW w:w="3798" w:type="dxa"/>
            <w:gridSpan w:val="2"/>
          </w:tcPr>
          <w:p w:rsidR="00D56A83" w:rsidRPr="00D56A83" w:rsidRDefault="00475CC7" w:rsidP="00D56A83">
            <w:pPr>
              <w:pStyle w:val="TableTitleArial"/>
            </w:pPr>
            <w:r w:rsidRPr="00D56A83">
              <w:rPr>
                <w:rFonts w:eastAsia="Arial"/>
                <w:color w:val="000000"/>
                <w:szCs w:val="20"/>
                <w:lang w:val="pt-BR"/>
              </w:rPr>
              <w:t>Tipo de identificação</w:t>
            </w:r>
          </w:p>
        </w:tc>
      </w:tr>
      <w:tr w:rsidR="003D5F75" w:rsidTr="003D5F75">
        <w:tc>
          <w:tcPr>
            <w:tcW w:w="5288" w:type="dxa"/>
            <w:gridSpan w:val="2"/>
            <w:vMerge/>
          </w:tcPr>
          <w:p w:rsidR="00D56A83" w:rsidRPr="00D56A83" w:rsidRDefault="00147974" w:rsidP="00D56A83">
            <w:pPr>
              <w:pStyle w:val="TableTitleArial"/>
              <w:spacing w:before="20" w:after="20" w:line="80" w:lineRule="atLeast"/>
              <w:rPr>
                <w:i/>
                <w:szCs w:val="20"/>
              </w:rPr>
            </w:pPr>
          </w:p>
        </w:tc>
        <w:tc>
          <w:tcPr>
            <w:tcW w:w="1712" w:type="dxa"/>
          </w:tcPr>
          <w:p w:rsidR="00D56A83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Emitido pelo governo</w:t>
            </w:r>
          </w:p>
        </w:tc>
        <w:tc>
          <w:tcPr>
            <w:tcW w:w="2086" w:type="dxa"/>
          </w:tcPr>
          <w:p w:rsidR="00D56A83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Não emitido pelo governo</w:t>
            </w: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Certidão de nascimento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533004" cy="548640"/>
                  <wp:effectExtent l="19050" t="0" r="396" b="0"/>
                  <wp:docPr id="1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004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  <w:tc>
          <w:tcPr>
            <w:tcW w:w="2086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Crachá do funcionário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429738" cy="548640"/>
                  <wp:effectExtent l="19050" t="0" r="8412" b="0"/>
                  <wp:docPr id="1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738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  <w:tc>
          <w:tcPr>
            <w:tcW w:w="2086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Cartão de biblioteca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736493" cy="548640"/>
                  <wp:effectExtent l="19050" t="0" r="6457" b="0"/>
                  <wp:docPr id="1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493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  <w:tc>
          <w:tcPr>
            <w:tcW w:w="2086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Passaporte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417609" cy="548640"/>
                  <wp:effectExtent l="19050" t="0" r="1491" b="0"/>
                  <wp:docPr id="1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9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  <w:tc>
          <w:tcPr>
            <w:tcW w:w="2086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Cartão da previdência social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927907" cy="548640"/>
                  <wp:effectExtent l="19050" t="0" r="5543" b="0"/>
                  <wp:docPr id="2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rcRect t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907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  <w:tc>
          <w:tcPr>
            <w:tcW w:w="2086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Carteira de motorista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958883" cy="548640"/>
                  <wp:effectExtent l="19050" t="0" r="0" b="0"/>
                  <wp:docPr id="2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83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  <w:tc>
          <w:tcPr>
            <w:tcW w:w="2086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</w:tr>
      <w:tr w:rsidR="003D5F75" w:rsidTr="003D5F75">
        <w:tc>
          <w:tcPr>
            <w:tcW w:w="2223" w:type="dxa"/>
          </w:tcPr>
          <w:p w:rsidR="00461819" w:rsidRPr="00FA403C" w:rsidRDefault="00475CC7" w:rsidP="00FA403C">
            <w:pPr>
              <w:pStyle w:val="TableSecondLevelArial"/>
            </w:pPr>
            <w:r w:rsidRPr="00FA403C">
              <w:rPr>
                <w:rFonts w:eastAsia="Arial"/>
                <w:iCs/>
                <w:color w:val="000000"/>
                <w:lang w:val="pt-BR"/>
              </w:rPr>
              <w:t>Carteirinha de estudante</w:t>
            </w:r>
          </w:p>
        </w:tc>
        <w:tc>
          <w:tcPr>
            <w:tcW w:w="3065" w:type="dxa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noProof/>
                <w:lang w:eastAsia="zh-CN"/>
              </w:rPr>
              <w:drawing>
                <wp:inline distT="0" distB="0" distL="0" distR="0">
                  <wp:extent cx="743109" cy="548640"/>
                  <wp:effectExtent l="19050" t="0" r="0" b="0"/>
                  <wp:docPr id="2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109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712" w:type="dxa"/>
            <w:vAlign w:val="center"/>
          </w:tcPr>
          <w:p w:rsidR="00461819" w:rsidRPr="00FA403C" w:rsidRDefault="00147974" w:rsidP="00FA403C">
            <w:pPr>
              <w:pStyle w:val="TabletextArial"/>
            </w:pPr>
          </w:p>
        </w:tc>
        <w:tc>
          <w:tcPr>
            <w:tcW w:w="2086" w:type="dxa"/>
            <w:vAlign w:val="center"/>
          </w:tcPr>
          <w:p w:rsidR="00461819" w:rsidRPr="00FA403C" w:rsidRDefault="00475CC7" w:rsidP="00FA403C">
            <w:pPr>
              <w:pStyle w:val="TabletextArial"/>
            </w:pPr>
            <w:r w:rsidRPr="00FA403C">
              <w:rPr>
                <w:rFonts w:eastAsia="Arial"/>
                <w:lang w:val="pt-BR"/>
              </w:rPr>
              <w:t>X</w:t>
            </w:r>
          </w:p>
        </w:tc>
      </w:tr>
    </w:tbl>
    <w:p w:rsidR="00DC3D52" w:rsidRPr="00FA403C" w:rsidRDefault="00147974" w:rsidP="00FA403C">
      <w:pPr>
        <w:pStyle w:val="BodyText"/>
      </w:pPr>
    </w:p>
    <w:sectPr w:rsidR="00DC3D52" w:rsidRPr="00FA403C" w:rsidSect="009B0E4C">
      <w:headerReference w:type="default" r:id="rId15"/>
      <w:footerReference w:type="default" r:id="rId16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CC7" w:rsidRDefault="00475CC7" w:rsidP="003D5F75">
      <w:pPr>
        <w:spacing w:after="0" w:line="240" w:lineRule="auto"/>
      </w:pPr>
      <w:r>
        <w:separator/>
      </w:r>
    </w:p>
  </w:endnote>
  <w:endnote w:type="continuationSeparator" w:id="0">
    <w:p w:rsidR="00475CC7" w:rsidRDefault="00475CC7" w:rsidP="003D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345D2C">
    <w:pPr>
      <w:pStyle w:val="Footer"/>
    </w:pPr>
    <w:r w:rsidRPr="00345D2C">
      <w:rPr>
        <w:noProof/>
        <w:sz w:val="24"/>
        <w:szCs w:val="24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pt;width:450.75pt;height:36.8pt;z-index:251658240" filled="f" stroked="f">
          <v:textbox style="mso-fit-shape-to-text:t" inset="0,0,0,0">
            <w:txbxContent>
              <w:p w:rsidR="00D56A83" w:rsidRPr="00C30648" w:rsidRDefault="00475CC7" w:rsidP="00D56A83">
                <w:pPr>
                  <w:pStyle w:val="Copyright"/>
                  <w:rPr>
                    <w:lang w:val="pt-PT"/>
                  </w:rPr>
                </w:pPr>
                <w:r w:rsidRPr="00AE587C">
                  <w:rPr>
                    <w:rFonts w:eastAsia="Arial"/>
                    <w:color w:val="000000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475CC7">
      <w:rPr>
        <w:noProof/>
        <w:sz w:val="24"/>
        <w:szCs w:val="24"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-1847850</wp:posOffset>
          </wp:positionV>
          <wp:extent cx="1645920" cy="1383030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CC7" w:rsidRDefault="00475CC7" w:rsidP="003D5F75">
      <w:pPr>
        <w:spacing w:after="0" w:line="240" w:lineRule="auto"/>
      </w:pPr>
      <w:r>
        <w:separator/>
      </w:r>
    </w:p>
  </w:footnote>
  <w:footnote w:type="continuationSeparator" w:id="0">
    <w:p w:rsidR="00475CC7" w:rsidRDefault="00475CC7" w:rsidP="003D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D5F75" w:rsidTr="0084517A">
      <w:tc>
        <w:tcPr>
          <w:tcW w:w="5000" w:type="pct"/>
        </w:tcPr>
        <w:p w:rsidR="002F372E" w:rsidRPr="009B5B65" w:rsidRDefault="00147974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45D2C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475CC7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92C656E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31655C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4CAB52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D2FA4F9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73E82C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620882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7F8CA6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C383A7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EC6505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EDEC1E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C6F2EDFA" w:tentative="1">
      <w:start w:val="1"/>
      <w:numFmt w:val="lowerLetter"/>
      <w:lvlText w:val="%2."/>
      <w:lvlJc w:val="left"/>
      <w:pPr>
        <w:ind w:left="2246" w:hanging="360"/>
      </w:pPr>
    </w:lvl>
    <w:lvl w:ilvl="2" w:tplc="481CD6A8" w:tentative="1">
      <w:start w:val="1"/>
      <w:numFmt w:val="lowerRoman"/>
      <w:lvlText w:val="%3."/>
      <w:lvlJc w:val="right"/>
      <w:pPr>
        <w:ind w:left="2966" w:hanging="180"/>
      </w:pPr>
    </w:lvl>
    <w:lvl w:ilvl="3" w:tplc="71369998" w:tentative="1">
      <w:start w:val="1"/>
      <w:numFmt w:val="decimal"/>
      <w:lvlText w:val="%4."/>
      <w:lvlJc w:val="left"/>
      <w:pPr>
        <w:ind w:left="3686" w:hanging="360"/>
      </w:pPr>
    </w:lvl>
    <w:lvl w:ilvl="4" w:tplc="D5361246" w:tentative="1">
      <w:start w:val="1"/>
      <w:numFmt w:val="lowerLetter"/>
      <w:lvlText w:val="%5."/>
      <w:lvlJc w:val="left"/>
      <w:pPr>
        <w:ind w:left="4406" w:hanging="360"/>
      </w:pPr>
    </w:lvl>
    <w:lvl w:ilvl="5" w:tplc="8C44A16A" w:tentative="1">
      <w:start w:val="1"/>
      <w:numFmt w:val="lowerRoman"/>
      <w:lvlText w:val="%6."/>
      <w:lvlJc w:val="right"/>
      <w:pPr>
        <w:ind w:left="5126" w:hanging="180"/>
      </w:pPr>
    </w:lvl>
    <w:lvl w:ilvl="6" w:tplc="F7B43F18" w:tentative="1">
      <w:start w:val="1"/>
      <w:numFmt w:val="decimal"/>
      <w:lvlText w:val="%7."/>
      <w:lvlJc w:val="left"/>
      <w:pPr>
        <w:ind w:left="5846" w:hanging="360"/>
      </w:pPr>
    </w:lvl>
    <w:lvl w:ilvl="7" w:tplc="10C012C4" w:tentative="1">
      <w:start w:val="1"/>
      <w:numFmt w:val="lowerLetter"/>
      <w:lvlText w:val="%8."/>
      <w:lvlJc w:val="left"/>
      <w:pPr>
        <w:ind w:left="6566" w:hanging="360"/>
      </w:pPr>
    </w:lvl>
    <w:lvl w:ilvl="8" w:tplc="2E8889C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F5C59F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DAC52A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1D0014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730329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E02734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6DE523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FBCF2D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5E649F8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BE4F39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8C4C63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038E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A812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6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AD8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AE4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4E45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4E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25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FAF64DE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80096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32F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56A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678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8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8E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874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064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D5F75"/>
    <w:rsid w:val="00147974"/>
    <w:rsid w:val="001E7210"/>
    <w:rsid w:val="00345D2C"/>
    <w:rsid w:val="003D5F75"/>
    <w:rsid w:val="00475CC7"/>
    <w:rsid w:val="00C30648"/>
    <w:rsid w:val="00F7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56A83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F36C9-0737-4A7E-AC8E-1FB833B5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sonalib749</dc:creator>
  <dc:description>A4 Proposal template</dc:description>
  <cp:lastModifiedBy>agates</cp:lastModifiedBy>
  <cp:revision>2</cp:revision>
  <cp:lastPrinted>2012-06-27T20:14:00Z</cp:lastPrinted>
  <dcterms:created xsi:type="dcterms:W3CDTF">2012-12-25T22:18:00Z</dcterms:created>
  <dcterms:modified xsi:type="dcterms:W3CDTF">2012-12-25T22:18:00Z</dcterms:modified>
</cp:coreProperties>
</file>